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479"/>
        <w:gridCol w:w="589"/>
      </w:tblGrid>
      <w:tr w:rsidR="001F3046" w:rsidTr="001F3046">
        <w:trPr>
          <w:trHeight w:val="288"/>
        </w:trPr>
        <w:sdt>
          <w:sdtPr>
            <w:rPr>
              <w:rFonts w:asciiTheme="majorHAnsi" w:eastAsiaTheme="majorEastAsia" w:hAnsiTheme="majorHAnsi" w:cstheme="majorBidi"/>
              <w:b/>
              <w:sz w:val="24"/>
              <w:szCs w:val="24"/>
            </w:rPr>
            <w:alias w:val="Título"/>
            <w:id w:val="77761602"/>
            <w:placeholder>
              <w:docPart w:val="F7A0308ECEB04C2BA87C378B2C1FE5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8479" w:type="dxa"/>
              </w:tcPr>
              <w:p w:rsidR="001F3046" w:rsidRPr="001F3046" w:rsidRDefault="001F3046" w:rsidP="00DB6697">
                <w:pPr>
                  <w:pStyle w:val="Encabezado"/>
                  <w:jc w:val="right"/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  <w:t xml:space="preserve">Seminario Técnicas avanzadas de investigación                                                             Guía de </w:t>
                </w:r>
                <w:r w:rsidR="00DB6697"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  <w:t>Lectura</w:t>
                </w:r>
              </w:p>
            </w:tc>
          </w:sdtContent>
        </w:sdt>
        <w:tc>
          <w:tcPr>
            <w:tcW w:w="589" w:type="dxa"/>
          </w:tcPr>
          <w:p w:rsidR="001F3046" w:rsidRDefault="001F3046" w:rsidP="001F3046">
            <w:pPr>
              <w:pStyle w:val="Encabezad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</w:p>
        </w:tc>
      </w:tr>
    </w:tbl>
    <w:p w:rsidR="001F3046" w:rsidRDefault="001F3046" w:rsidP="00AA40FD">
      <w:pPr>
        <w:pStyle w:val="Sinespaciado"/>
        <w:rPr>
          <w:rFonts w:ascii="Calibri" w:hAnsi="Calibri"/>
          <w:b/>
          <w:sz w:val="28"/>
          <w:szCs w:val="24"/>
        </w:rPr>
      </w:pPr>
    </w:p>
    <w:p w:rsidR="001F3046" w:rsidRDefault="001F3046" w:rsidP="00AA40FD">
      <w:pPr>
        <w:pStyle w:val="Sinespaciado"/>
        <w:rPr>
          <w:rFonts w:ascii="Calibri" w:hAnsi="Calibri"/>
          <w:b/>
          <w:sz w:val="25"/>
          <w:szCs w:val="25"/>
        </w:rPr>
      </w:pPr>
    </w:p>
    <w:p w:rsidR="007920D8" w:rsidRDefault="007920D8" w:rsidP="00F51E44">
      <w:pPr>
        <w:pStyle w:val="Sinespaciado"/>
        <w:rPr>
          <w:rFonts w:ascii="Tahoma" w:hAnsi="Tahoma" w:cs="Tahoma"/>
          <w:b/>
          <w:sz w:val="28"/>
          <w:szCs w:val="25"/>
        </w:rPr>
      </w:pPr>
      <w:r w:rsidRPr="007920D8">
        <w:rPr>
          <w:rFonts w:ascii="Tahoma" w:hAnsi="Tahoma" w:cs="Tahoma"/>
          <w:b/>
          <w:sz w:val="28"/>
          <w:szCs w:val="25"/>
        </w:rPr>
        <w:t xml:space="preserve">Causalidad y evaluación del impacto de la política </w:t>
      </w:r>
    </w:p>
    <w:p w:rsidR="00CE523B" w:rsidRPr="00DE7054" w:rsidRDefault="00CE523B" w:rsidP="00CE523B">
      <w:pPr>
        <w:pStyle w:val="Sinespaciado"/>
        <w:jc w:val="both"/>
        <w:rPr>
          <w:rFonts w:ascii="Tahoma" w:hAnsi="Tahoma" w:cs="Tahoma"/>
          <w:sz w:val="24"/>
          <w:szCs w:val="24"/>
        </w:rPr>
      </w:pPr>
      <w:r w:rsidRPr="00DE7054">
        <w:rPr>
          <w:rFonts w:ascii="Tahoma" w:hAnsi="Tahoma" w:cs="Tahoma"/>
          <w:sz w:val="24"/>
          <w:szCs w:val="24"/>
        </w:rPr>
        <w:t>Fernando Cortés</w:t>
      </w:r>
    </w:p>
    <w:p w:rsidR="00F51E44" w:rsidRDefault="00F51E44" w:rsidP="00AA40FD">
      <w:pPr>
        <w:pStyle w:val="Sinespaciado"/>
        <w:rPr>
          <w:rFonts w:ascii="Tahoma" w:hAnsi="Tahoma" w:cs="Tahoma"/>
          <w:b/>
          <w:sz w:val="28"/>
          <w:szCs w:val="25"/>
        </w:rPr>
      </w:pPr>
    </w:p>
    <w:p w:rsidR="00D93C5F" w:rsidRPr="00D93C5F" w:rsidRDefault="00D93C5F" w:rsidP="00AA40FD">
      <w:pPr>
        <w:pStyle w:val="Sinespaciado"/>
        <w:rPr>
          <w:rFonts w:ascii="Tahoma" w:hAnsi="Tahoma" w:cs="Tahoma"/>
          <w:b/>
          <w:sz w:val="28"/>
          <w:szCs w:val="25"/>
        </w:rPr>
      </w:pPr>
    </w:p>
    <w:p w:rsidR="00D93C5F" w:rsidRPr="00D93C5F" w:rsidRDefault="00D93C5F" w:rsidP="00AA40FD">
      <w:pPr>
        <w:pStyle w:val="Sinespaciado"/>
        <w:rPr>
          <w:rFonts w:ascii="Tahoma" w:hAnsi="Tahoma" w:cs="Tahoma"/>
          <w:sz w:val="24"/>
          <w:szCs w:val="24"/>
        </w:rPr>
      </w:pPr>
    </w:p>
    <w:p w:rsidR="00AC20C2" w:rsidRDefault="001571E3" w:rsidP="00AA40FD">
      <w:pPr>
        <w:pStyle w:val="Sinespaciado"/>
        <w:numPr>
          <w:ilvl w:val="0"/>
          <w:numId w:val="2"/>
        </w:numPr>
        <w:spacing w:line="36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grandes rasgos</w:t>
      </w:r>
      <w:r w:rsidR="00586025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cuáles serían las diferencias entre “causalidad simple” y “determinación estadística”</w:t>
      </w:r>
    </w:p>
    <w:p w:rsidR="00D93C5F" w:rsidRPr="00D93C5F" w:rsidRDefault="00D93C5F" w:rsidP="00D93C5F">
      <w:pPr>
        <w:pStyle w:val="Sinespaciado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AA40FD" w:rsidRPr="00D93C5F" w:rsidRDefault="00586025" w:rsidP="00AA40FD">
      <w:pPr>
        <w:pStyle w:val="Sinespaciado"/>
        <w:numPr>
          <w:ilvl w:val="0"/>
          <w:numId w:val="2"/>
        </w:numPr>
        <w:spacing w:line="36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Según el autor, la “</w:t>
      </w:r>
      <w:r w:rsidRPr="009D0DB9">
        <w:rPr>
          <w:rFonts w:ascii="Tahoma" w:hAnsi="Tahoma" w:cs="Tahoma"/>
          <w:i/>
          <w:sz w:val="24"/>
          <w:szCs w:val="24"/>
        </w:rPr>
        <w:t>explicación causal por subsunción de condiciones lógicas</w:t>
      </w:r>
      <w:r>
        <w:rPr>
          <w:rFonts w:ascii="Tahoma" w:hAnsi="Tahoma" w:cs="Tahoma"/>
          <w:sz w:val="24"/>
          <w:szCs w:val="24"/>
        </w:rPr>
        <w:t>” en el campo de las ciencias sociales ha recibido críticas</w:t>
      </w:r>
      <w:r w:rsidR="009D0DB9">
        <w:rPr>
          <w:rFonts w:ascii="Tahoma" w:hAnsi="Tahoma" w:cs="Tahoma"/>
          <w:sz w:val="24"/>
          <w:szCs w:val="24"/>
        </w:rPr>
        <w:t xml:space="preserve"> </w:t>
      </w:r>
      <w:r w:rsidR="009D0DB9">
        <w:rPr>
          <w:rFonts w:ascii="Tahoma" w:hAnsi="Tahoma" w:cs="Tahoma"/>
          <w:sz w:val="24"/>
          <w:szCs w:val="24"/>
        </w:rPr>
        <w:t>(pág. 104)</w:t>
      </w:r>
      <w:r>
        <w:rPr>
          <w:rFonts w:ascii="Tahoma" w:hAnsi="Tahoma" w:cs="Tahoma"/>
          <w:sz w:val="24"/>
          <w:szCs w:val="24"/>
        </w:rPr>
        <w:t>. ¿cuáles serían estas? Cite</w:t>
      </w:r>
      <w:r w:rsidR="009D0DB9">
        <w:rPr>
          <w:rFonts w:ascii="Tahoma" w:hAnsi="Tahoma" w:cs="Tahoma"/>
          <w:sz w:val="24"/>
          <w:szCs w:val="24"/>
        </w:rPr>
        <w:t xml:space="preserve"> y</w:t>
      </w:r>
      <w:r>
        <w:rPr>
          <w:rFonts w:ascii="Tahoma" w:hAnsi="Tahoma" w:cs="Tahoma"/>
          <w:sz w:val="24"/>
          <w:szCs w:val="24"/>
        </w:rPr>
        <w:t xml:space="preserve"> desarrolle </w:t>
      </w:r>
      <w:r w:rsidR="009D0DB9">
        <w:rPr>
          <w:rFonts w:ascii="Tahoma" w:hAnsi="Tahoma" w:cs="Tahoma"/>
          <w:sz w:val="24"/>
          <w:szCs w:val="24"/>
        </w:rPr>
        <w:t xml:space="preserve">brevemente con </w:t>
      </w:r>
      <w:r>
        <w:rPr>
          <w:rFonts w:ascii="Tahoma" w:hAnsi="Tahoma" w:cs="Tahoma"/>
          <w:sz w:val="24"/>
          <w:szCs w:val="24"/>
        </w:rPr>
        <w:t>un ejemplo.</w:t>
      </w:r>
    </w:p>
    <w:p w:rsidR="00C8468D" w:rsidRDefault="00C8468D" w:rsidP="00C8468D">
      <w:pPr>
        <w:pStyle w:val="Prrafodelista"/>
        <w:rPr>
          <w:rFonts w:ascii="Calibri" w:hAnsi="Calibri"/>
          <w:sz w:val="24"/>
          <w:szCs w:val="24"/>
        </w:rPr>
      </w:pPr>
    </w:p>
    <w:p w:rsidR="00C8468D" w:rsidRPr="000944FE" w:rsidRDefault="009D0DB9" w:rsidP="000944FE">
      <w:pPr>
        <w:pStyle w:val="Sinespaciado"/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Expliqu</w:t>
      </w:r>
      <w:r w:rsidR="000944FE">
        <w:rPr>
          <w:rFonts w:ascii="Tahoma" w:hAnsi="Tahoma" w:cs="Tahoma"/>
          <w:sz w:val="24"/>
          <w:szCs w:val="24"/>
        </w:rPr>
        <w:t xml:space="preserve">e brevemente la siguiente </w:t>
      </w:r>
      <w:r>
        <w:rPr>
          <w:rFonts w:ascii="Tahoma" w:hAnsi="Tahoma" w:cs="Tahoma"/>
          <w:sz w:val="24"/>
          <w:szCs w:val="24"/>
        </w:rPr>
        <w:t>afirma</w:t>
      </w:r>
      <w:r w:rsidR="000944FE">
        <w:rPr>
          <w:rFonts w:ascii="Tahoma" w:hAnsi="Tahoma" w:cs="Tahoma"/>
          <w:sz w:val="24"/>
          <w:szCs w:val="24"/>
        </w:rPr>
        <w:t>ción que da el autor “</w:t>
      </w:r>
      <w:r>
        <w:rPr>
          <w:rFonts w:ascii="Tahoma" w:hAnsi="Tahoma" w:cs="Tahoma"/>
          <w:sz w:val="24"/>
          <w:szCs w:val="24"/>
        </w:rPr>
        <w:t>…</w:t>
      </w:r>
      <w:r w:rsidR="000944FE">
        <w:rPr>
          <w:rFonts w:ascii="Tahoma" w:hAnsi="Tahoma" w:cs="Tahoma"/>
          <w:sz w:val="24"/>
          <w:szCs w:val="24"/>
        </w:rPr>
        <w:t xml:space="preserve">hay que considerar que el acercamiento metodológico de las ciencias sociales es de carácter más general en la medida en que considera que basta con que difieran los </w:t>
      </w:r>
      <w:r w:rsidR="000944FE" w:rsidRPr="000944FE">
        <w:rPr>
          <w:rFonts w:ascii="Tahoma" w:hAnsi="Tahoma" w:cs="Tahoma"/>
          <w:i/>
          <w:sz w:val="24"/>
          <w:szCs w:val="24"/>
        </w:rPr>
        <w:t>valores esperados</w:t>
      </w:r>
      <w:r w:rsidR="000944FE">
        <w:rPr>
          <w:rFonts w:ascii="Tahoma" w:hAnsi="Tahoma" w:cs="Tahoma"/>
          <w:sz w:val="24"/>
          <w:szCs w:val="24"/>
        </w:rPr>
        <w:t xml:space="preserve"> en los grupos experimental y de control para establecer el vínculo causal ente la causa y el efecto”. (pág. 114)</w:t>
      </w:r>
    </w:p>
    <w:p w:rsidR="000944FE" w:rsidRDefault="000944FE" w:rsidP="000944FE">
      <w:pPr>
        <w:pStyle w:val="Prrafodelista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0944FE" w:rsidRPr="00586025" w:rsidRDefault="000944FE" w:rsidP="009D0DB9">
      <w:pPr>
        <w:pStyle w:val="Sinespaciado"/>
        <w:spacing w:line="360" w:lineRule="auto"/>
        <w:jc w:val="both"/>
        <w:rPr>
          <w:rFonts w:ascii="Calibri" w:hAnsi="Calibri"/>
          <w:sz w:val="24"/>
          <w:szCs w:val="24"/>
        </w:rPr>
      </w:pPr>
    </w:p>
    <w:sectPr w:rsidR="000944FE" w:rsidRPr="00586025" w:rsidSect="001F304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800D6"/>
    <w:multiLevelType w:val="hybridMultilevel"/>
    <w:tmpl w:val="E0EEBB6C"/>
    <w:lvl w:ilvl="0" w:tplc="77C2E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B6065"/>
    <w:multiLevelType w:val="hybridMultilevel"/>
    <w:tmpl w:val="794CB844"/>
    <w:lvl w:ilvl="0" w:tplc="77C2EB3C">
      <w:numFmt w:val="bullet"/>
      <w:lvlText w:val=""/>
      <w:lvlJc w:val="left"/>
      <w:pPr>
        <w:ind w:left="1023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0FD"/>
    <w:rsid w:val="0003760C"/>
    <w:rsid w:val="000944FE"/>
    <w:rsid w:val="001571E3"/>
    <w:rsid w:val="001D6847"/>
    <w:rsid w:val="001F3046"/>
    <w:rsid w:val="00374949"/>
    <w:rsid w:val="004C5530"/>
    <w:rsid w:val="00586025"/>
    <w:rsid w:val="006711EB"/>
    <w:rsid w:val="006D1FD9"/>
    <w:rsid w:val="006F6F36"/>
    <w:rsid w:val="007920D8"/>
    <w:rsid w:val="007C7AB7"/>
    <w:rsid w:val="008D4B23"/>
    <w:rsid w:val="00973207"/>
    <w:rsid w:val="009D0DB9"/>
    <w:rsid w:val="00AA40FD"/>
    <w:rsid w:val="00AC20C2"/>
    <w:rsid w:val="00C8468D"/>
    <w:rsid w:val="00CE523B"/>
    <w:rsid w:val="00D93C5F"/>
    <w:rsid w:val="00DB6697"/>
    <w:rsid w:val="00F51E44"/>
    <w:rsid w:val="00F6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40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A40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3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046"/>
  </w:style>
  <w:style w:type="paragraph" w:styleId="Textodeglobo">
    <w:name w:val="Balloon Text"/>
    <w:basedOn w:val="Normal"/>
    <w:link w:val="TextodegloboCar"/>
    <w:uiPriority w:val="99"/>
    <w:semiHidden/>
    <w:unhideWhenUsed/>
    <w:rsid w:val="001F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A0308ECEB04C2BA87C378B2C1F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EA64D-568E-4A72-9A55-0DB8976A1C3D}"/>
      </w:docPartPr>
      <w:docPartBody>
        <w:p w:rsidR="00557879" w:rsidRDefault="00AA69CA" w:rsidP="00AA69CA">
          <w:pPr>
            <w:pStyle w:val="F7A0308ECEB04C2BA87C378B2C1FE5C8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69CA"/>
    <w:rsid w:val="00557879"/>
    <w:rsid w:val="007030D3"/>
    <w:rsid w:val="00A66E46"/>
    <w:rsid w:val="00AA69CA"/>
    <w:rsid w:val="00B264AD"/>
    <w:rsid w:val="00C558F6"/>
    <w:rsid w:val="00EE2238"/>
    <w:rsid w:val="00FA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6AA30841554F02BDD29E69F945AD22">
    <w:name w:val="656AA30841554F02BDD29E69F945AD22"/>
    <w:rsid w:val="00AA69CA"/>
  </w:style>
  <w:style w:type="paragraph" w:customStyle="1" w:styleId="C6886FC0472B4D6A99A4F0314BEBF038">
    <w:name w:val="C6886FC0472B4D6A99A4F0314BEBF038"/>
    <w:rsid w:val="00AA69CA"/>
  </w:style>
  <w:style w:type="paragraph" w:customStyle="1" w:styleId="F7A0308ECEB04C2BA87C378B2C1FE5C8">
    <w:name w:val="F7A0308ECEB04C2BA87C378B2C1FE5C8"/>
    <w:rsid w:val="00AA69CA"/>
  </w:style>
  <w:style w:type="paragraph" w:customStyle="1" w:styleId="9F0FE75F5FC848A6ABF1DC4F0935EBE8">
    <w:name w:val="9F0FE75F5FC848A6ABF1DC4F0935EBE8"/>
    <w:rsid w:val="00AA69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Seminario Técnicas avanzadas de investigación                                                             Guía de Lectura</vt:lpstr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Técnicas avanzadas de investigación                                                             Guía de Lectura</dc:title>
  <dc:creator>UlisesAlbano</dc:creator>
  <cp:lastModifiedBy>UlisesAlbano</cp:lastModifiedBy>
  <cp:revision>10</cp:revision>
  <dcterms:created xsi:type="dcterms:W3CDTF">2013-03-29T15:24:00Z</dcterms:created>
  <dcterms:modified xsi:type="dcterms:W3CDTF">2014-03-31T16:47:00Z</dcterms:modified>
</cp:coreProperties>
</file>